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79" w:rsidRDefault="00071E8C">
      <w:pPr>
        <w:pStyle w:val="Nagwek3"/>
        <w:numPr>
          <w:ilvl w:val="2"/>
          <w:numId w:val="1"/>
        </w:numPr>
        <w:spacing w:before="240" w:after="120"/>
        <w:jc w:val="both"/>
      </w:pPr>
      <w:bookmarkStart w:id="0" w:name="_GoBack"/>
      <w:bookmarkEnd w:id="0"/>
      <w:r>
        <w:t>Zadanie 1</w:t>
      </w:r>
    </w:p>
    <w:p w:rsidR="00543379" w:rsidRDefault="00071E8C">
      <w:pPr>
        <w:pStyle w:val="Tekstpodstawowy1"/>
        <w:jc w:val="both"/>
        <w:rPr>
          <w:rFonts w:hint="eastAsia"/>
        </w:rPr>
      </w:pPr>
      <w:r>
        <w:t>Trenerowi zależy, aby jego gracze byli duzi, szybcy i posłuszni. Jeśli gracz A jest lepszy od gracza B w dwóch ze wspomnianych trzech charakterystyk, to trener preferuje gracza A względem gracza B. Trzech graczy konkuruje do pozycji rozgrywającego. Gracz R</w:t>
      </w:r>
      <w:r>
        <w:t xml:space="preserve"> waży 85 kg, biega bardzo wolno, ale jest dość posłuszny. Gracz S waży 80 kg, biega niesamowicie szybko, jednak jest również okropnie nieposłuszny. Gracz T waży 76 kg, biega w średnim tempie i jest bardzo posłuszny. Czy preferencje trenera są przechodnie? </w:t>
      </w:r>
    </w:p>
    <w:p w:rsidR="00543379" w:rsidRDefault="00071E8C">
      <w:pPr>
        <w:pStyle w:val="Nagwek3"/>
        <w:numPr>
          <w:ilvl w:val="2"/>
          <w:numId w:val="1"/>
        </w:numPr>
        <w:jc w:val="both"/>
      </w:pPr>
      <w:r>
        <w:t>Zadanie 2</w:t>
      </w:r>
    </w:p>
    <w:p w:rsidR="00543379" w:rsidRDefault="00071E8C">
      <w:pPr>
        <w:pStyle w:val="Tekstpodstawowy1"/>
        <w:jc w:val="both"/>
        <w:rPr>
          <w:rFonts w:hint="eastAsia"/>
        </w:rPr>
      </w:pPr>
      <w:r>
        <w:t>Jeśli dobro X jest mierzone na osi poziomej, zaś dobro Y na pionowej, co możesz powiedzieć o preferencjach osoby, której krzywe obojętności są:</w:t>
      </w:r>
    </w:p>
    <w:p w:rsidR="00543379" w:rsidRDefault="00071E8C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równoległe do osi pionowej?</w:t>
      </w:r>
    </w:p>
    <w:p w:rsidR="00543379" w:rsidRDefault="00071E8C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dodatnio nachylone, tym bardziej preferowane, im bardziej z prawej strony</w:t>
      </w:r>
      <w:r>
        <w:t xml:space="preserve"> się znajdują?</w:t>
      </w:r>
    </w:p>
    <w:p w:rsidR="00543379" w:rsidRDefault="00071E8C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ujemnie nachylone, tym bardziej preferowane, im bliżej początku układu współrzędnych się znajdują?</w:t>
      </w:r>
    </w:p>
    <w:p w:rsidR="00543379" w:rsidRDefault="00071E8C">
      <w:pPr>
        <w:pStyle w:val="Nagwek3"/>
        <w:numPr>
          <w:ilvl w:val="2"/>
          <w:numId w:val="1"/>
        </w:numPr>
        <w:jc w:val="both"/>
      </w:pPr>
      <w:r>
        <w:t>Zadanie 3</w:t>
      </w:r>
    </w:p>
    <w:p w:rsidR="00543379" w:rsidRDefault="00071E8C">
      <w:pPr>
        <w:pStyle w:val="Tekstpodstawowy1"/>
        <w:jc w:val="both"/>
        <w:rPr>
          <w:rFonts w:hint="eastAsia"/>
        </w:rPr>
      </w:pPr>
      <w:r>
        <w:t xml:space="preserve">Dla każdej z poniższych sytuacji narysuj przykładowe krzywe obojętności. </w:t>
      </w:r>
    </w:p>
    <w:p w:rsidR="00543379" w:rsidRDefault="00071E8C">
      <w:pPr>
        <w:pStyle w:val="Tekstpodstawowy1"/>
        <w:numPr>
          <w:ilvl w:val="0"/>
          <w:numId w:val="3"/>
        </w:numPr>
        <w:jc w:val="both"/>
        <w:rPr>
          <w:rFonts w:hint="eastAsia"/>
        </w:rPr>
      </w:pPr>
      <w:r>
        <w:t>Konsument lubi hot-dogi i chili, a jego preferencje charak</w:t>
      </w:r>
      <w:r>
        <w:t>teryzują się malejącą krańcową stopą substytucji hot-dogów za chili.</w:t>
      </w:r>
    </w:p>
    <w:p w:rsidR="00543379" w:rsidRDefault="00071E8C">
      <w:pPr>
        <w:pStyle w:val="Tekstpodstawowy1"/>
        <w:numPr>
          <w:ilvl w:val="0"/>
          <w:numId w:val="3"/>
        </w:numPr>
        <w:jc w:val="both"/>
        <w:rPr>
          <w:rFonts w:hint="eastAsia"/>
        </w:rPr>
      </w:pPr>
      <w:r>
        <w:t>Konsument lubi słodzić herbatę zarówno cukrem, jak i miodem, i będzie jednakowo usatysfakcjonowany z herbaty posłodzonej jedną łyżeczką cukru lub jedną łyżeczką miodu. Im słodsza herbata,</w:t>
      </w:r>
      <w:r>
        <w:t xml:space="preserve"> tym bardziej atrakcyjna dla konsumenta. </w:t>
      </w:r>
    </w:p>
    <w:p w:rsidR="00543379" w:rsidRDefault="00071E8C">
      <w:pPr>
        <w:pStyle w:val="Tekstpodstawowy1"/>
        <w:numPr>
          <w:ilvl w:val="0"/>
          <w:numId w:val="3"/>
        </w:numPr>
        <w:jc w:val="both"/>
        <w:rPr>
          <w:rFonts w:hint="eastAsia"/>
        </w:rPr>
      </w:pPr>
      <w:r>
        <w:t xml:space="preserve">Konsument lubi kanapki z masłem orzechowym i dżemem w proporcji: dwie łyżki masła orzechowego z jedną łyżką dżemu. </w:t>
      </w:r>
    </w:p>
    <w:p w:rsidR="00543379" w:rsidRDefault="00071E8C">
      <w:pPr>
        <w:pStyle w:val="Tekstpodstawowy1"/>
        <w:numPr>
          <w:ilvl w:val="0"/>
          <w:numId w:val="3"/>
        </w:numPr>
        <w:jc w:val="both"/>
        <w:rPr>
          <w:rFonts w:hint="eastAsia"/>
        </w:rPr>
      </w:pPr>
      <w:r>
        <w:t>Konsument lubi jeść jabłka, ale nie lubi brzoskwiń.</w:t>
      </w:r>
    </w:p>
    <w:p w:rsidR="00543379" w:rsidRDefault="00543379">
      <w:pPr>
        <w:jc w:val="both"/>
      </w:pPr>
    </w:p>
    <w:p w:rsidR="00543379" w:rsidRDefault="00071E8C">
      <w:pPr>
        <w:pStyle w:val="prawaautorskie"/>
        <w:jc w:val="both"/>
        <w:rPr>
          <w:rFonts w:hint="eastAsia"/>
        </w:rPr>
      </w:pPr>
      <w:r>
        <w:t>Autorami niniejszego zbioru zadań do przedmio</w:t>
      </w:r>
      <w:r>
        <w:t>tu Mikroekonomia I są pracownicy Katedry Mikroekonomii Wydziału Nauk Ekonomicznych Uniwersytetu Warszawskiego. Powyższy zbiór zadań jest efektem pracy wielu osób, która była dokonywana na przestrzeni ostatnich lat.</w:t>
      </w:r>
    </w:p>
    <w:p w:rsidR="00543379" w:rsidRDefault="00071E8C">
      <w:pPr>
        <w:pStyle w:val="prawaautorskie"/>
        <w:jc w:val="both"/>
        <w:rPr>
          <w:rFonts w:hint="eastAsia"/>
        </w:rPr>
      </w:pPr>
      <w:r>
        <w:t>Autorzy:</w:t>
      </w:r>
    </w:p>
    <w:p w:rsidR="00543379" w:rsidRDefault="00071E8C">
      <w:pPr>
        <w:pStyle w:val="prawaautorskie"/>
        <w:jc w:val="both"/>
        <w:rPr>
          <w:rFonts w:hint="eastAsia"/>
        </w:rPr>
      </w:pPr>
      <w:r>
        <w:t xml:space="preserve">Mikołaj Czajkowski, Marek </w:t>
      </w:r>
      <w:proofErr w:type="spellStart"/>
      <w:r>
        <w:t>Giergi</w:t>
      </w:r>
      <w:r>
        <w:t>czny</w:t>
      </w:r>
      <w:proofErr w:type="spellEnd"/>
      <w:r>
        <w:t xml:space="preserve">, Tomasz </w:t>
      </w:r>
      <w:proofErr w:type="spellStart"/>
      <w:r>
        <w:t>Kopczewski</w:t>
      </w:r>
      <w:proofErr w:type="spellEnd"/>
      <w:r>
        <w:t xml:space="preserve">, Łukasz </w:t>
      </w:r>
      <w:proofErr w:type="spellStart"/>
      <w:r>
        <w:t>Koseski</w:t>
      </w:r>
      <w:proofErr w:type="spellEnd"/>
      <w:r>
        <w:t xml:space="preserve">, Anna Kukla-Gryz, Przemysław </w:t>
      </w:r>
      <w:proofErr w:type="spellStart"/>
      <w:r>
        <w:t>Kusztelak</w:t>
      </w:r>
      <w:proofErr w:type="spellEnd"/>
      <w:r>
        <w:t>, Maciej Wilamowski, Ewa Zawojska, Tomasz Żylicz</w:t>
      </w:r>
    </w:p>
    <w:p w:rsidR="00543379" w:rsidRDefault="00071E8C">
      <w:pPr>
        <w:pStyle w:val="prawaautorskie"/>
        <w:jc w:val="both"/>
        <w:rPr>
          <w:rFonts w:hint="eastAsia"/>
        </w:rPr>
      </w:pPr>
      <w:r>
        <w:t>Wszystkie uwagi  i pytania dotyczące zbioru prosimy kierować na adres: mwilamowski@wne.uw.edu.pl</w:t>
      </w:r>
    </w:p>
    <w:p w:rsidR="00543379" w:rsidRDefault="00543379">
      <w:pPr>
        <w:jc w:val="both"/>
      </w:pPr>
    </w:p>
    <w:p w:rsidR="00543379" w:rsidRDefault="00543379">
      <w:pPr>
        <w:jc w:val="both"/>
      </w:pPr>
    </w:p>
    <w:p w:rsidR="00543379" w:rsidRDefault="00543379">
      <w:pPr>
        <w:jc w:val="both"/>
      </w:pPr>
    </w:p>
    <w:sectPr w:rsidR="00543379">
      <w:headerReference w:type="default" r:id="rId7"/>
      <w:footerReference w:type="default" r:id="rId8"/>
      <w:pgSz w:w="11906" w:h="16838"/>
      <w:pgMar w:top="1418" w:right="850" w:bottom="1021" w:left="850" w:header="624" w:footer="62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E8C" w:rsidRDefault="00071E8C">
      <w:pPr>
        <w:spacing w:after="0" w:line="240" w:lineRule="auto"/>
      </w:pPr>
      <w:r>
        <w:separator/>
      </w:r>
    </w:p>
  </w:endnote>
  <w:endnote w:type="continuationSeparator" w:id="0">
    <w:p w:rsidR="00071E8C" w:rsidRDefault="0007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variable"/>
  </w:font>
  <w:font w:name="URWGroteskSCTCELig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79" w:rsidRDefault="00543379">
    <w:pPr>
      <w:pStyle w:val="Stopka"/>
      <w:rPr>
        <w:rFonts w:hint="eastAsia"/>
      </w:rPr>
    </w:pPr>
  </w:p>
  <w:p w:rsidR="00543379" w:rsidRDefault="00071E8C">
    <w:pPr>
      <w:pStyle w:val="Stopka"/>
      <w:rPr>
        <w:rFonts w:hint="eastAsia"/>
      </w:rPr>
    </w:pPr>
    <w:r>
      <w:t>© 2017 Uniwersytet Warszawski Wydział Nauk Ekonomicznych Katedra Mikroekonomii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E8C" w:rsidRDefault="00071E8C">
      <w:pPr>
        <w:spacing w:after="0" w:line="240" w:lineRule="auto"/>
      </w:pPr>
      <w:r>
        <w:separator/>
      </w:r>
    </w:p>
  </w:footnote>
  <w:footnote w:type="continuationSeparator" w:id="0">
    <w:p w:rsidR="00071E8C" w:rsidRDefault="0007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79" w:rsidRDefault="00071E8C">
    <w:pPr>
      <w:pStyle w:val="Nagwek"/>
      <w:jc w:val="center"/>
      <w:rPr>
        <w:rFonts w:hint="eastAsia"/>
      </w:rPr>
    </w:pPr>
    <w:r>
      <w:t>Mikroekonomia I Temat 3</w:t>
    </w:r>
    <w:r>
      <w:br/>
      <w:t>Preferencje</w:t>
    </w:r>
  </w:p>
  <w:p w:rsidR="00543379" w:rsidRDefault="00543379">
    <w:pPr>
      <w:pStyle w:val="Nagwek"/>
      <w:jc w:val="center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107BF"/>
    <w:multiLevelType w:val="multilevel"/>
    <w:tmpl w:val="BCA0CF9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BCE359F"/>
    <w:multiLevelType w:val="multilevel"/>
    <w:tmpl w:val="A2C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383909"/>
    <w:multiLevelType w:val="multilevel"/>
    <w:tmpl w:val="BA5861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4A42A25"/>
    <w:multiLevelType w:val="multilevel"/>
    <w:tmpl w:val="2B00F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79"/>
    <w:rsid w:val="00071E8C"/>
    <w:rsid w:val="002C01D0"/>
    <w:rsid w:val="005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CF0BA-ED66-46E2-ADBC-18E0DF17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agwek1">
    <w:name w:val="heading 1"/>
    <w:basedOn w:val="Heading"/>
    <w:qFormat/>
    <w:pPr>
      <w:outlineLvl w:val="0"/>
    </w:pPr>
    <w:rPr>
      <w:b/>
      <w:bCs/>
      <w:sz w:val="28"/>
      <w:szCs w:val="32"/>
    </w:rPr>
  </w:style>
  <w:style w:type="paragraph" w:styleId="Nagwek2">
    <w:name w:val="heading 2"/>
    <w:basedOn w:val="Heading"/>
    <w:qFormat/>
    <w:pPr>
      <w:outlineLvl w:val="1"/>
    </w:pPr>
    <w:rPr>
      <w:b/>
      <w:bCs/>
      <w:i/>
      <w:iCs/>
    </w:rPr>
  </w:style>
  <w:style w:type="paragraph" w:styleId="Nagwek3">
    <w:name w:val="heading 3"/>
    <w:basedOn w:val="Heading"/>
    <w:qFormat/>
    <w:pPr>
      <w:spacing w:before="170" w:after="85"/>
      <w:outlineLvl w:val="2"/>
    </w:pPr>
    <w:rPr>
      <w:b/>
      <w:bC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podpowiedz">
    <w:name w:val="podpowiedz"/>
    <w:qFormat/>
    <w:rPr>
      <w:rFonts w:ascii="Verdana" w:hAnsi="Verdana" w:cs="Verdana"/>
      <w:i/>
      <w:sz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1"/>
    <w:qFormat/>
    <w:pPr>
      <w:keepNext/>
      <w:shd w:val="clear" w:color="auto" w:fill="FFFFFF"/>
      <w:spacing w:before="240" w:after="120"/>
    </w:pPr>
    <w:rPr>
      <w:rFonts w:ascii="Verdana" w:eastAsia="Microsoft YaHei" w:hAnsi="Verdana"/>
      <w:szCs w:val="28"/>
    </w:rPr>
  </w:style>
  <w:style w:type="paragraph" w:customStyle="1" w:styleId="Tekstpodstawowy1">
    <w:name w:val="Tekst podstawowy1"/>
    <w:basedOn w:val="Normalny"/>
    <w:pPr>
      <w:spacing w:after="0"/>
    </w:pPr>
    <w:rPr>
      <w:rFonts w:ascii="Verdana" w:hAnsi="Verdana" w:cs="Verdana"/>
      <w:sz w:val="21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Quotations">
    <w:name w:val="Quotations"/>
    <w:basedOn w:val="Normalny"/>
    <w:qFormat/>
    <w:pPr>
      <w:spacing w:after="283"/>
      <w:ind w:left="567" w:right="567"/>
    </w:pPr>
  </w:style>
  <w:style w:type="paragraph" w:styleId="Tytu">
    <w:name w:val="Title"/>
    <w:basedOn w:val="Heading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qFormat/>
    <w:pPr>
      <w:jc w:val="center"/>
    </w:pPr>
    <w:rPr>
      <w:i/>
      <w:iCs/>
      <w:sz w:val="28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">
    <w:name w:val="Table"/>
    <w:basedOn w:val="Legenda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agwek">
    <w:name w:val="header"/>
    <w:basedOn w:val="Normalny"/>
    <w:pPr>
      <w:pBdr>
        <w:bottom w:val="single" w:sz="8" w:space="0" w:color="7E0021"/>
      </w:pBdr>
      <w:spacing w:after="0" w:line="216" w:lineRule="auto"/>
    </w:pPr>
    <w:rPr>
      <w:rFonts w:ascii="URWGroteskSCTCELig" w:hAnsi="URWGroteskSCTCELig"/>
      <w:sz w:val="26"/>
    </w:rPr>
  </w:style>
  <w:style w:type="paragraph" w:styleId="Stopka">
    <w:name w:val="footer"/>
    <w:basedOn w:val="Normalny"/>
    <w:pPr>
      <w:pBdr>
        <w:top w:val="single" w:sz="8" w:space="0" w:color="7E0021"/>
      </w:pBdr>
      <w:spacing w:after="0"/>
      <w:jc w:val="right"/>
    </w:pPr>
    <w:rPr>
      <w:rFonts w:ascii="URWGroteskSCTCELig" w:hAnsi="URWGroteskSCTCELig"/>
      <w:sz w:val="18"/>
    </w:rPr>
  </w:style>
  <w:style w:type="paragraph" w:customStyle="1" w:styleId="prawaautorskie">
    <w:name w:val="prawaautorskie"/>
    <w:basedOn w:val="Tekstpodstawowy1"/>
    <w:qFormat/>
    <w:pPr>
      <w:spacing w:after="113" w:line="115" w:lineRule="atLeast"/>
    </w:pPr>
    <w:rPr>
      <w:color w:val="4C4C4C"/>
      <w:sz w:val="18"/>
      <w:szCs w:val="18"/>
    </w:r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pracownik</cp:lastModifiedBy>
  <cp:revision>2</cp:revision>
  <cp:lastPrinted>2013-10-01T20:54:00Z</cp:lastPrinted>
  <dcterms:created xsi:type="dcterms:W3CDTF">2022-04-25T20:26:00Z</dcterms:created>
  <dcterms:modified xsi:type="dcterms:W3CDTF">2022-04-25T20:26:00Z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